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3465F6EB" w:rsidR="009B6FD7" w:rsidRDefault="002A6109" w:rsidP="009B6FD7">
      <w:pPr>
        <w:spacing w:after="480"/>
      </w:pPr>
      <w:r>
        <w:rPr>
          <w:noProof/>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09687EAA" w:rsidR="009B6FD7" w:rsidRDefault="004F36E5" w:rsidP="00DB6D88">
            <w:pPr>
              <w:pStyle w:val="Infotext"/>
              <w:rPr>
                <w:rFonts w:cs="Arial"/>
              </w:rPr>
            </w:pPr>
            <w:r>
              <w:rPr>
                <w:rFonts w:cs="Arial"/>
              </w:rPr>
              <w:t>25</w:t>
            </w:r>
            <w:r w:rsidR="001E611F" w:rsidRPr="001E611F">
              <w:rPr>
                <w:rFonts w:cs="Arial"/>
                <w:vertAlign w:val="superscript"/>
              </w:rPr>
              <w:t>th</w:t>
            </w:r>
            <w:r w:rsidR="001E611F">
              <w:rPr>
                <w:rFonts w:cs="Arial"/>
              </w:rPr>
              <w:t xml:space="preserve"> January </w:t>
            </w:r>
            <w:r>
              <w:rPr>
                <w:rFonts w:cs="Arial"/>
              </w:rPr>
              <w:t>2024</w:t>
            </w:r>
          </w:p>
        </w:tc>
      </w:tr>
      <w:tr w:rsidR="009B6FD7" w14:paraId="577E5DC8" w14:textId="77777777" w:rsidTr="00DB6D88">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29DA94E9" w:rsidR="009B6FD7" w:rsidRDefault="004F36E5" w:rsidP="00DB6D88">
            <w:pPr>
              <w:pStyle w:val="Infotext"/>
              <w:rPr>
                <w:rFonts w:cs="Arial"/>
              </w:rPr>
            </w:pPr>
            <w:r>
              <w:rPr>
                <w:rFonts w:cs="Arial"/>
              </w:rPr>
              <w:t>North Central London Start Well Programme Consultation</w:t>
            </w:r>
          </w:p>
        </w:tc>
      </w:tr>
      <w:tr w:rsidR="009B6FD7"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A7F43A0" w14:textId="20325D11" w:rsidR="009B6FD7" w:rsidRDefault="006B099E" w:rsidP="00DB6D88">
            <w:pPr>
              <w:pStyle w:val="Infotext"/>
              <w:rPr>
                <w:rFonts w:cs="Arial"/>
              </w:rPr>
            </w:pPr>
            <w:r>
              <w:rPr>
                <w:rFonts w:cs="Arial"/>
              </w:rPr>
              <w:t xml:space="preserve">Anna Stewart </w:t>
            </w:r>
            <w:r w:rsidR="00F3060F">
              <w:rPr>
                <w:rFonts w:cs="Arial"/>
              </w:rPr>
              <w:t>-</w:t>
            </w:r>
            <w:r>
              <w:rPr>
                <w:rFonts w:cs="Arial"/>
              </w:rPr>
              <w:t xml:space="preserve"> N</w:t>
            </w:r>
            <w:r w:rsidR="00F3060F">
              <w:rPr>
                <w:rFonts w:cs="Arial"/>
              </w:rPr>
              <w:t xml:space="preserve">orth </w:t>
            </w:r>
            <w:r>
              <w:rPr>
                <w:rFonts w:cs="Arial"/>
              </w:rPr>
              <w:t>C</w:t>
            </w:r>
            <w:r w:rsidR="00F3060F">
              <w:rPr>
                <w:rFonts w:cs="Arial"/>
              </w:rPr>
              <w:t xml:space="preserve">entral </w:t>
            </w:r>
            <w:r>
              <w:rPr>
                <w:rFonts w:cs="Arial"/>
              </w:rPr>
              <w:t>L</w:t>
            </w:r>
            <w:r w:rsidR="00F3060F">
              <w:rPr>
                <w:rFonts w:cs="Arial"/>
              </w:rPr>
              <w:t>ondon</w:t>
            </w:r>
            <w:r>
              <w:rPr>
                <w:rFonts w:cs="Arial"/>
              </w:rPr>
              <w:t xml:space="preserve"> Start Well Programme Director</w:t>
            </w:r>
          </w:p>
          <w:p w14:paraId="5F5247A9" w14:textId="77777777" w:rsidR="009B6FD7" w:rsidRDefault="009B6FD7" w:rsidP="00DB6D88">
            <w:pPr>
              <w:pStyle w:val="Infotext"/>
              <w:rPr>
                <w:rFonts w:cs="Arial"/>
              </w:rPr>
            </w:pP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2FDB38D7" w14:textId="39B8F720" w:rsidR="009B6FD7" w:rsidRDefault="009B6FD7" w:rsidP="004F36E5">
            <w:pPr>
              <w:pStyle w:val="Infotext"/>
              <w:rPr>
                <w:rFonts w:cs="Arial"/>
              </w:rPr>
            </w:pPr>
            <w:r>
              <w:rPr>
                <w:rFonts w:cs="Arial"/>
              </w:rPr>
              <w:t xml:space="preserve">Yes </w:t>
            </w: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4BAD20B0" w:rsidR="009B6FD7" w:rsidRDefault="006E2528" w:rsidP="00DB6D88">
            <w:pPr>
              <w:pStyle w:val="Infotext"/>
            </w:pPr>
            <w:r>
              <w:rPr>
                <w:rFonts w:cs="Arial"/>
                <w:szCs w:val="24"/>
              </w:rPr>
              <w:t xml:space="preserve">N/A </w:t>
            </w:r>
          </w:p>
        </w:tc>
      </w:tr>
      <w:tr w:rsidR="009B6FD7" w14:paraId="2F9866C6" w14:textId="77777777" w:rsidTr="00DB6D88">
        <w:tc>
          <w:tcPr>
            <w:tcW w:w="3456" w:type="dxa"/>
          </w:tcPr>
          <w:p w14:paraId="29A54BB4" w14:textId="77777777" w:rsidR="009B6FD7" w:rsidRPr="00F92398" w:rsidRDefault="009B6FD7" w:rsidP="00DB6D88">
            <w:pPr>
              <w:pStyle w:val="Infotext"/>
              <w:rPr>
                <w:rFonts w:ascii="Arial Black" w:hAnsi="Arial Black" w:cs="Arial"/>
              </w:rPr>
            </w:pPr>
          </w:p>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3ABFF214" w14:textId="77777777" w:rsidR="009B6FD7" w:rsidRDefault="009B6FD7" w:rsidP="00DB6D88">
            <w:pPr>
              <w:pStyle w:val="Infotext"/>
            </w:pPr>
          </w:p>
          <w:p w14:paraId="70B6CB0B" w14:textId="75B47741" w:rsidR="009B6FD7" w:rsidRDefault="004F36E5" w:rsidP="00DB6D88">
            <w:pPr>
              <w:pStyle w:val="Infotext"/>
            </w:pPr>
            <w:r>
              <w:t>Harrow Health and Wellbeing Board – Start Well programme slides</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14:paraId="6582A1DA" w14:textId="77777777" w:rsidTr="00DB6D88">
        <w:trPr>
          <w:tblHeader/>
        </w:trPr>
        <w:tc>
          <w:tcPr>
            <w:tcW w:w="8525" w:type="dxa"/>
            <w:tcBorders>
              <w:top w:val="nil"/>
              <w:left w:val="nil"/>
              <w:bottom w:val="single" w:sz="4" w:space="0" w:color="auto"/>
              <w:right w:val="nil"/>
            </w:tcBorders>
          </w:tcPr>
          <w:p w14:paraId="4306589F" w14:textId="77777777" w:rsidR="001976BF" w:rsidRDefault="001976BF" w:rsidP="00DB6D88">
            <w:pPr>
              <w:pStyle w:val="Heading2"/>
              <w:spacing w:before="240"/>
            </w:pPr>
            <w:r>
              <w:lastRenderedPageBreak/>
              <w:t>Section 1 – Summary and Recommendations</w:t>
            </w:r>
          </w:p>
        </w:tc>
      </w:tr>
      <w:tr w:rsidR="001976BF" w14:paraId="7319AC6E" w14:textId="77777777" w:rsidTr="00DB6D88">
        <w:trPr>
          <w:tblHeader/>
        </w:trPr>
        <w:tc>
          <w:tcPr>
            <w:tcW w:w="8525" w:type="dxa"/>
            <w:tcBorders>
              <w:left w:val="nil"/>
              <w:bottom w:val="nil"/>
              <w:right w:val="nil"/>
            </w:tcBorders>
          </w:tcPr>
          <w:p w14:paraId="03D09642" w14:textId="1FCDF7FB" w:rsidR="001976BF" w:rsidRDefault="004F36E5" w:rsidP="004F36E5">
            <w:pPr>
              <w:jc w:val="both"/>
            </w:pPr>
            <w:r w:rsidRPr="00F304CE">
              <w:t xml:space="preserve">North Central London Integrated Care Board and NHS England (London) Specialised Commissioning are consulting on proposed changes to maternity, neonatal, and children’s surgical services in North Central London. The report sets out the options </w:t>
            </w:r>
            <w:r w:rsidR="0008372C">
              <w:t>being consulted on,</w:t>
            </w:r>
            <w:r w:rsidRPr="00F304CE">
              <w:t xml:space="preserve"> and the possible impact of these on residents of Harrow. It outlines the approach to consultation and how residents, staff and stakeholders can give their feedback on the proposals. </w:t>
            </w:r>
          </w:p>
          <w:p w14:paraId="3F56CF08" w14:textId="77777777" w:rsidR="00302DAD" w:rsidRDefault="00302DAD" w:rsidP="004F36E5">
            <w:pPr>
              <w:jc w:val="both"/>
            </w:pPr>
          </w:p>
          <w:p w14:paraId="60C09774" w14:textId="51A7D7CF" w:rsidR="00302DAD" w:rsidRDefault="00302DAD" w:rsidP="004F36E5">
            <w:pPr>
              <w:jc w:val="both"/>
            </w:pPr>
            <w:r>
              <w:t xml:space="preserve">One aspect of the detailed proposals includes the proposal to close a hospital-based maternity and neonatal unit. There are two proposed options being consulted on around this: </w:t>
            </w:r>
          </w:p>
          <w:p w14:paraId="70471903" w14:textId="3A9D30DF" w:rsidR="00302DAD" w:rsidRDefault="00302DAD" w:rsidP="004F36E5">
            <w:pPr>
              <w:jc w:val="both"/>
            </w:pPr>
            <w:r>
              <w:t xml:space="preserve">Option A where maternity and neonatal services are provided at: UCLH, North </w:t>
            </w:r>
            <w:proofErr w:type="spellStart"/>
            <w:r>
              <w:t>Midd</w:t>
            </w:r>
            <w:proofErr w:type="spellEnd"/>
            <w:r>
              <w:t xml:space="preserve">, Barnet Hospital and Whittington Hospital </w:t>
            </w:r>
          </w:p>
          <w:p w14:paraId="379C0726" w14:textId="23967AED" w:rsidR="00302DAD" w:rsidRDefault="00302DAD" w:rsidP="004F36E5">
            <w:pPr>
              <w:jc w:val="both"/>
            </w:pPr>
            <w:r>
              <w:t xml:space="preserve">Option B where maternity and neonatal services are provided at: UCLH, North </w:t>
            </w:r>
            <w:proofErr w:type="spellStart"/>
            <w:r>
              <w:t>Midd</w:t>
            </w:r>
            <w:proofErr w:type="spellEnd"/>
            <w:r>
              <w:t>, Barnet Hospital and Royal Free Hospital</w:t>
            </w:r>
          </w:p>
          <w:p w14:paraId="338FB7FF" w14:textId="77777777" w:rsidR="00302DAD" w:rsidRDefault="00302DAD" w:rsidP="004F36E5">
            <w:pPr>
              <w:jc w:val="both"/>
            </w:pPr>
          </w:p>
          <w:p w14:paraId="2FA47D01" w14:textId="620AE88F" w:rsidR="00302DAD" w:rsidRPr="00F304CE" w:rsidRDefault="00302DAD" w:rsidP="004F36E5">
            <w:pPr>
              <w:jc w:val="both"/>
            </w:pPr>
            <w:r w:rsidRPr="00302DAD">
              <w:t xml:space="preserve">There are small numbers of Harrow residents who access </w:t>
            </w:r>
            <w:r>
              <w:t xml:space="preserve">maternity </w:t>
            </w:r>
            <w:r w:rsidRPr="00302DAD">
              <w:t>services in NCL</w:t>
            </w:r>
            <w:r>
              <w:t xml:space="preserve"> and should changes be implemented there is a small i</w:t>
            </w:r>
            <w:r w:rsidRPr="00302DAD">
              <w:t>mpact for residents of Harrow – around 120 residents under option A and 1 under option B.</w:t>
            </w:r>
          </w:p>
          <w:p w14:paraId="2E85FBD8" w14:textId="77777777" w:rsidR="004F36E5" w:rsidRDefault="004F36E5" w:rsidP="00DB6D88">
            <w:pPr>
              <w:rPr>
                <w:rFonts w:ascii="Arial Bold" w:hAnsi="Arial Bold"/>
                <w:b/>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357466FA" w14:textId="77777777" w:rsidR="001976BF" w:rsidRDefault="001976BF" w:rsidP="001976BF">
            <w:r>
              <w:t>The Board is requested to:</w:t>
            </w:r>
          </w:p>
          <w:p w14:paraId="4D9F4B54" w14:textId="4FCF2FBF" w:rsidR="0008372C" w:rsidRDefault="004F36E5" w:rsidP="001976BF">
            <w:pPr>
              <w:pStyle w:val="ListParagraph"/>
              <w:numPr>
                <w:ilvl w:val="0"/>
                <w:numId w:val="21"/>
              </w:numPr>
            </w:pPr>
            <w:r w:rsidRPr="0008372C">
              <w:t>Note the update on the programm</w:t>
            </w:r>
            <w:r w:rsidR="0008372C">
              <w:t>e and p</w:t>
            </w:r>
            <w:r w:rsidR="006E2528" w:rsidRPr="0008372C">
              <w:t>rovide feedback as to how to</w:t>
            </w:r>
            <w:r w:rsidR="0070079A" w:rsidRPr="0008372C">
              <w:t xml:space="preserve"> raise awareness with of the consultation with Harrow residents and encourage participation. </w:t>
            </w:r>
            <w:r w:rsidR="006E2528" w:rsidRPr="0008372C">
              <w:t xml:space="preserve"> </w:t>
            </w:r>
          </w:p>
        </w:tc>
      </w:tr>
    </w:tbl>
    <w:p w14:paraId="3AF8ECC6" w14:textId="77777777" w:rsidR="009B6FD7" w:rsidRDefault="009B6FD7" w:rsidP="009B6FD7">
      <w:pPr>
        <w:pStyle w:val="Heading2"/>
      </w:pPr>
      <w:r>
        <w:t>Section 2 – Report</w:t>
      </w:r>
    </w:p>
    <w:p w14:paraId="056452F3" w14:textId="77777777" w:rsidR="004F36E5" w:rsidRDefault="004F36E5" w:rsidP="004F36E5">
      <w:pPr>
        <w:jc w:val="both"/>
        <w:rPr>
          <w:rFonts w:cs="Arial"/>
        </w:rPr>
      </w:pPr>
      <w:r>
        <w:rPr>
          <w:rFonts w:cs="Arial"/>
        </w:rPr>
        <w:t>The Start Well Programme was initiated in November 2021 to ensure that hospital-based maternity, neonatal and children and young people’s services are best set up to meet the needs of our population. The</w:t>
      </w:r>
      <w:r>
        <w:rPr>
          <w:rFonts w:cs="Arial"/>
          <w:i/>
          <w:iCs/>
        </w:rPr>
        <w:t xml:space="preserve"> </w:t>
      </w:r>
      <w:r>
        <w:rPr>
          <w:rFonts w:cs="Arial"/>
          <w:color w:val="000000"/>
        </w:rPr>
        <w:t>Start Well</w:t>
      </w:r>
      <w:r>
        <w:rPr>
          <w:rFonts w:cs="Arial"/>
        </w:rPr>
        <w:t xml:space="preserve"> programme is part of wider strategic planning for health and care across the NCL Integrated Care System aiming to deliver our population health strategy and reduce inequalities amongst our residents.</w:t>
      </w:r>
    </w:p>
    <w:p w14:paraId="4288FF1C" w14:textId="77777777" w:rsidR="0036506D" w:rsidRDefault="0036506D" w:rsidP="004F36E5">
      <w:pPr>
        <w:jc w:val="both"/>
        <w:rPr>
          <w:rFonts w:cs="Arial"/>
        </w:rPr>
      </w:pPr>
    </w:p>
    <w:p w14:paraId="5638F40F" w14:textId="4FAFA557" w:rsidR="0036506D" w:rsidRDefault="0036506D" w:rsidP="004F36E5">
      <w:pPr>
        <w:jc w:val="both"/>
        <w:rPr>
          <w:rFonts w:cs="Arial"/>
        </w:rPr>
      </w:pPr>
      <w:r w:rsidRPr="0036506D">
        <w:rPr>
          <w:rFonts w:cs="Arial"/>
        </w:rPr>
        <w:t>North Central London Integrated Care Board and NHS England (London) Specialised Commissioning are consulting on proposed changes to maternity, neonatal, and children’s surgical services in North Central London.</w:t>
      </w:r>
      <w:r>
        <w:rPr>
          <w:rFonts w:cs="Arial"/>
        </w:rPr>
        <w:t xml:space="preserve"> The proposals </w:t>
      </w:r>
      <w:r w:rsidR="009E4BE6">
        <w:rPr>
          <w:rFonts w:cs="Arial"/>
        </w:rPr>
        <w:t>being consulted on</w:t>
      </w:r>
      <w:r>
        <w:rPr>
          <w:rFonts w:cs="Arial"/>
        </w:rPr>
        <w:t xml:space="preserve"> are underpinned by a case for change, the development of new future facing care models and an extensive options appraisal process involving clinicians and members of the public. </w:t>
      </w:r>
    </w:p>
    <w:p w14:paraId="3B9B469B" w14:textId="77777777" w:rsidR="0036506D" w:rsidRDefault="0036506D" w:rsidP="004F36E5">
      <w:pPr>
        <w:jc w:val="both"/>
        <w:rPr>
          <w:rFonts w:cs="Arial"/>
        </w:rPr>
      </w:pPr>
    </w:p>
    <w:p w14:paraId="7825E6DC" w14:textId="51C59441" w:rsidR="0036506D" w:rsidRDefault="0036506D" w:rsidP="004F36E5">
      <w:pPr>
        <w:jc w:val="both"/>
        <w:rPr>
          <w:rFonts w:cs="Arial"/>
        </w:rPr>
      </w:pPr>
      <w:r>
        <w:rPr>
          <w:rFonts w:cs="Arial"/>
        </w:rPr>
        <w:t>The</w:t>
      </w:r>
      <w:r w:rsidR="00D95755">
        <w:rPr>
          <w:rFonts w:cs="Arial"/>
        </w:rPr>
        <w:t xml:space="preserve"> details of the proposals </w:t>
      </w:r>
      <w:r>
        <w:rPr>
          <w:rFonts w:cs="Arial"/>
        </w:rPr>
        <w:t xml:space="preserve">are outlined in the report attached, as well as our approach to consultation and engagement with residents. More information about the proposals, including how to give feedback can be found on our website: </w:t>
      </w:r>
      <w:hyperlink r:id="rId8" w:history="1">
        <w:r w:rsidR="00174943">
          <w:rPr>
            <w:rStyle w:val="Hyperlink"/>
          </w:rPr>
          <w:t>nclhealthandcare.org.uk/get-involved/start-well</w:t>
        </w:r>
      </w:hyperlink>
      <w:r w:rsidR="00174943">
        <w:t xml:space="preserve"> </w:t>
      </w:r>
    </w:p>
    <w:p w14:paraId="3FD00AFA" w14:textId="77777777" w:rsidR="0036506D" w:rsidRDefault="0036506D" w:rsidP="004F36E5">
      <w:pPr>
        <w:jc w:val="both"/>
        <w:rPr>
          <w:rFonts w:cs="Arial"/>
          <w:sz w:val="22"/>
        </w:rPr>
      </w:pPr>
    </w:p>
    <w:p w14:paraId="63E4DD15" w14:textId="77777777" w:rsidR="001976BF" w:rsidRDefault="001976BF" w:rsidP="00174943">
      <w:pPr>
        <w:rPr>
          <w:rFonts w:ascii="Arial Bold" w:hAnsi="Arial Bold"/>
          <w:b/>
        </w:rPr>
      </w:pPr>
    </w:p>
    <w:p w14:paraId="18DC72AF" w14:textId="77777777" w:rsidR="002A2389" w:rsidRDefault="002A2389" w:rsidP="00FF4BB9">
      <w:pPr>
        <w:pStyle w:val="Heading3"/>
      </w:pPr>
      <w:r>
        <w:t>Financial Implications</w:t>
      </w:r>
      <w:r w:rsidR="00BE1C78">
        <w:t xml:space="preserve">/Comments </w:t>
      </w:r>
    </w:p>
    <w:p w14:paraId="1A39B8A7" w14:textId="77777777" w:rsidR="00302DAD" w:rsidRDefault="00302DAD" w:rsidP="00302DAD">
      <w:r w:rsidRPr="00302DAD">
        <w:t>At this stage, proposals are out to public consultation. There have been no changes</w:t>
      </w:r>
      <w:r>
        <w:t xml:space="preserve"> agreed to change </w:t>
      </w:r>
      <w:r w:rsidRPr="00302DAD">
        <w:t xml:space="preserve">services which would </w:t>
      </w:r>
      <w:r>
        <w:t>have an impact on Harrow</w:t>
      </w:r>
      <w:r w:rsidRPr="00302DAD">
        <w:t>.</w:t>
      </w:r>
    </w:p>
    <w:p w14:paraId="10C841DF" w14:textId="77777777" w:rsidR="00302DAD" w:rsidRDefault="00302DAD" w:rsidP="00302DAD"/>
    <w:p w14:paraId="1514306D" w14:textId="6D93BD6F" w:rsidR="00302DAD" w:rsidRPr="00302DAD" w:rsidRDefault="00302DAD" w:rsidP="00302DAD">
      <w:r w:rsidRPr="00302DAD">
        <w:t xml:space="preserve">Following public consultation, NCL ICB and NHSE London Region specialised commissioning would take a decision if any service changes should be implemented. This is not anticipated to be until late 2024/25.  </w:t>
      </w:r>
    </w:p>
    <w:p w14:paraId="42928C08" w14:textId="77777777" w:rsidR="00302DAD" w:rsidRPr="00302DAD" w:rsidRDefault="00302DAD" w:rsidP="00302DAD"/>
    <w:p w14:paraId="564B2B85" w14:textId="2C970C96" w:rsidR="00302DAD" w:rsidRDefault="00302DAD" w:rsidP="00302DAD">
      <w:pPr>
        <w:rPr>
          <w:bCs/>
        </w:rPr>
      </w:pPr>
      <w:r w:rsidRPr="00302DAD">
        <w:t xml:space="preserve">This programme of work is focused on improving quality of care and improving outcomes for our local population. During the options appraisal process we considered the affordability and value for money </w:t>
      </w:r>
      <w:r>
        <w:t>options put forward for consultation</w:t>
      </w:r>
      <w:r w:rsidR="0013615B" w:rsidRPr="0013615B">
        <w:t xml:space="preserve"> however this was not a deciding factor on the options for consultation</w:t>
      </w:r>
      <w:r w:rsidRPr="00302DAD">
        <w:t xml:space="preserve">. Our proposals involve prioritising significant additional investment, around £40 million in either option for maternity and neonatal to improve and expand the current estate and facilities. </w:t>
      </w:r>
    </w:p>
    <w:p w14:paraId="11B4AA01" w14:textId="579A5211" w:rsidR="001417FD" w:rsidRDefault="001417FD" w:rsidP="00302DAD">
      <w:pPr>
        <w:pStyle w:val="Heading3"/>
      </w:pPr>
      <w:r w:rsidRPr="001417FD">
        <w:t xml:space="preserve">Legal Implications/Comments </w:t>
      </w:r>
    </w:p>
    <w:p w14:paraId="481B954E" w14:textId="2E36803B" w:rsidR="00EB4C4D" w:rsidRPr="00EB4C4D" w:rsidRDefault="00EB4C4D" w:rsidP="00EB4C4D">
      <w:pPr>
        <w:pStyle w:val="NormalWeb"/>
        <w:rPr>
          <w:rFonts w:ascii="Arial" w:hAnsi="Arial" w:cs="Arial"/>
          <w:color w:val="000000"/>
          <w:sz w:val="20"/>
          <w:szCs w:val="20"/>
        </w:rPr>
      </w:pPr>
      <w:r w:rsidRPr="00EB4C4D">
        <w:rPr>
          <w:rFonts w:ascii="Arial" w:hAnsi="Arial" w:cs="Arial"/>
          <w:color w:val="000000"/>
          <w:sz w:val="24"/>
          <w:szCs w:val="24"/>
        </w:rPr>
        <w:t>One of the Health and Wellbeing Board's key responsibilities is</w:t>
      </w:r>
      <w:r w:rsidR="008279B2">
        <w:rPr>
          <w:rFonts w:ascii="Arial" w:hAnsi="Arial" w:cs="Arial"/>
          <w:color w:val="000000"/>
          <w:sz w:val="24"/>
          <w:szCs w:val="24"/>
        </w:rPr>
        <w:t>:</w:t>
      </w:r>
      <w:r w:rsidRPr="00EB4C4D">
        <w:rPr>
          <w:rFonts w:ascii="Arial" w:hAnsi="Arial" w:cs="Arial"/>
          <w:color w:val="000000"/>
          <w:sz w:val="24"/>
          <w:szCs w:val="24"/>
        </w:rPr>
        <w:t> </w:t>
      </w:r>
    </w:p>
    <w:p w14:paraId="653BAD7F" w14:textId="77777777" w:rsidR="00EB4C4D" w:rsidRPr="00EB4C4D" w:rsidRDefault="00EB4C4D" w:rsidP="00EB4C4D">
      <w:pPr>
        <w:pStyle w:val="NormalWeb"/>
        <w:rPr>
          <w:rFonts w:ascii="Arial" w:hAnsi="Arial" w:cs="Arial"/>
          <w:color w:val="000000"/>
          <w:sz w:val="24"/>
          <w:szCs w:val="24"/>
        </w:rPr>
      </w:pPr>
      <w:r w:rsidRPr="00EB4C4D">
        <w:rPr>
          <w:rFonts w:ascii="Arial" w:hAnsi="Arial" w:cs="Arial"/>
          <w:color w:val="000000"/>
          <w:sz w:val="24"/>
          <w:szCs w:val="24"/>
        </w:rPr>
        <w:t>To provide a forum for public accountability of NHS, public health, social care and other health and wellbeing services</w:t>
      </w:r>
    </w:p>
    <w:p w14:paraId="14EF8341" w14:textId="1F19ECA4" w:rsidR="004F36E5" w:rsidRPr="00EB4C4D" w:rsidRDefault="004F36E5" w:rsidP="00EB4C4D">
      <w:pPr>
        <w:pStyle w:val="NormalWeb"/>
        <w:rPr>
          <w:rFonts w:ascii="Arial" w:hAnsi="Arial" w:cs="Arial"/>
          <w:color w:val="000000"/>
          <w:sz w:val="20"/>
          <w:szCs w:val="20"/>
        </w:rPr>
      </w:pPr>
    </w:p>
    <w:p w14:paraId="743E6639" w14:textId="77777777" w:rsidR="00C32DAE" w:rsidRDefault="00C32DAE" w:rsidP="00FF4BB9">
      <w:pPr>
        <w:pStyle w:val="Heading3"/>
      </w:pPr>
      <w:r>
        <w:t>Risk Management Implications</w:t>
      </w:r>
    </w:p>
    <w:p w14:paraId="3F4E33F7" w14:textId="7698A582" w:rsidR="00615340" w:rsidRPr="00615340" w:rsidRDefault="00174943" w:rsidP="00615340">
      <w:pPr>
        <w:textAlignment w:val="baseline"/>
        <w:rPr>
          <w:rFonts w:ascii="Segoe UI" w:hAnsi="Segoe UI" w:cs="Segoe UI"/>
          <w:sz w:val="18"/>
          <w:szCs w:val="18"/>
          <w:lang w:eastAsia="en-GB"/>
        </w:rPr>
      </w:pPr>
      <w:r>
        <w:t>There are no risk</w:t>
      </w:r>
      <w:r w:rsidR="0070079A">
        <w:t>s</w:t>
      </w:r>
      <w:r>
        <w:t xml:space="preserve"> for the Council</w:t>
      </w:r>
      <w:r w:rsidR="0070079A">
        <w:t xml:space="preserve">. </w:t>
      </w:r>
    </w:p>
    <w:p w14:paraId="362C737C"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625723FA" w14:textId="0575FB64"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val="en-US" w:eastAsia="en-GB"/>
        </w:rPr>
        <w:t>Risks included on corporate or directorate risk register? </w:t>
      </w:r>
      <w:r w:rsidRPr="00615340">
        <w:rPr>
          <w:rFonts w:cs="Arial"/>
          <w:b/>
          <w:bCs/>
          <w:szCs w:val="24"/>
          <w:lang w:val="en-US" w:eastAsia="en-GB"/>
        </w:rPr>
        <w:t>No</w:t>
      </w:r>
      <w:r w:rsidRPr="00615340">
        <w:rPr>
          <w:rFonts w:cs="Arial"/>
          <w:szCs w:val="24"/>
          <w:lang w:val="en-US" w:eastAsia="en-GB"/>
        </w:rPr>
        <w:t> </w:t>
      </w:r>
    </w:p>
    <w:p w14:paraId="440C160C" w14:textId="77777777" w:rsidR="00615340" w:rsidRPr="00615340" w:rsidRDefault="00615340" w:rsidP="00615340">
      <w:pPr>
        <w:ind w:left="-150" w:right="135"/>
        <w:textAlignment w:val="baseline"/>
        <w:rPr>
          <w:rFonts w:ascii="Segoe UI" w:hAnsi="Segoe UI" w:cs="Segoe UI"/>
          <w:sz w:val="18"/>
          <w:szCs w:val="18"/>
          <w:lang w:eastAsia="en-GB"/>
        </w:rPr>
      </w:pPr>
      <w:r w:rsidRPr="00615340">
        <w:rPr>
          <w:rFonts w:cs="Arial"/>
          <w:szCs w:val="24"/>
          <w:lang w:val="en-US" w:eastAsia="en-GB"/>
        </w:rPr>
        <w:t>  </w:t>
      </w:r>
      <w:r w:rsidRPr="00615340">
        <w:rPr>
          <w:rFonts w:cs="Arial"/>
          <w:szCs w:val="24"/>
          <w:lang w:eastAsia="en-GB"/>
        </w:rPr>
        <w:t> </w:t>
      </w:r>
    </w:p>
    <w:p w14:paraId="1EB6973D" w14:textId="7AA7BE21" w:rsidR="00615340" w:rsidRPr="00615340" w:rsidRDefault="00615340" w:rsidP="0008372C">
      <w:pPr>
        <w:ind w:right="135" w:hanging="15"/>
        <w:textAlignment w:val="baseline"/>
        <w:rPr>
          <w:rFonts w:ascii="Segoe UI" w:hAnsi="Segoe UI" w:cs="Segoe UI"/>
          <w:sz w:val="18"/>
          <w:szCs w:val="18"/>
          <w:lang w:eastAsia="en-GB"/>
        </w:rPr>
      </w:pPr>
      <w:r w:rsidRPr="00615340">
        <w:rPr>
          <w:rFonts w:cs="Arial"/>
          <w:szCs w:val="24"/>
          <w:lang w:val="en-US" w:eastAsia="en-GB"/>
        </w:rPr>
        <w:t>Separate risk register in place? </w:t>
      </w:r>
      <w:r w:rsidRPr="00615340">
        <w:rPr>
          <w:rFonts w:cs="Arial"/>
          <w:b/>
          <w:bCs/>
          <w:szCs w:val="24"/>
          <w:lang w:val="en-US" w:eastAsia="en-GB"/>
        </w:rPr>
        <w:t>Yes</w:t>
      </w:r>
      <w:r w:rsidR="00174943">
        <w:rPr>
          <w:rFonts w:cs="Arial"/>
          <w:b/>
          <w:bCs/>
          <w:szCs w:val="24"/>
          <w:lang w:val="en-US" w:eastAsia="en-GB"/>
        </w:rPr>
        <w:t xml:space="preserve"> </w:t>
      </w:r>
      <w:r w:rsidR="00174943" w:rsidRPr="00D95755">
        <w:rPr>
          <w:rFonts w:cs="Arial"/>
          <w:szCs w:val="24"/>
          <w:lang w:val="en-US" w:eastAsia="en-GB"/>
        </w:rPr>
        <w:t>(</w:t>
      </w:r>
      <w:proofErr w:type="spellStart"/>
      <w:r w:rsidR="00174943" w:rsidRPr="00D95755">
        <w:rPr>
          <w:rFonts w:cs="Arial"/>
          <w:szCs w:val="24"/>
          <w:lang w:val="en-US" w:eastAsia="en-GB"/>
        </w:rPr>
        <w:t>programme</w:t>
      </w:r>
      <w:proofErr w:type="spellEnd"/>
      <w:r w:rsidR="00174943" w:rsidRPr="00D95755">
        <w:rPr>
          <w:rFonts w:cs="Arial"/>
          <w:szCs w:val="24"/>
          <w:lang w:val="en-US" w:eastAsia="en-GB"/>
        </w:rPr>
        <w:t xml:space="preserve"> held risk register that feeds into NCL ICB’s risk register</w:t>
      </w:r>
      <w:r w:rsidR="0008372C" w:rsidRPr="00D95755">
        <w:rPr>
          <w:rFonts w:cs="Arial"/>
          <w:szCs w:val="24"/>
          <w:lang w:val="en-US" w:eastAsia="en-GB"/>
        </w:rPr>
        <w:t>)</w:t>
      </w:r>
    </w:p>
    <w:p w14:paraId="5DD4C092"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45EC90D5" w14:textId="6D3E8B39" w:rsidR="00615340" w:rsidRDefault="00615340" w:rsidP="00615340">
      <w:pPr>
        <w:ind w:right="75"/>
        <w:textAlignment w:val="baseline"/>
        <w:rPr>
          <w:rFonts w:cs="Arial"/>
          <w:b/>
          <w:bCs/>
          <w:szCs w:val="24"/>
          <w:lang w:eastAsia="en-GB"/>
        </w:rPr>
      </w:pPr>
      <w:r w:rsidRPr="00615340">
        <w:rPr>
          <w:rFonts w:cs="Arial"/>
          <w:szCs w:val="24"/>
          <w:lang w:eastAsia="en-GB"/>
        </w:rPr>
        <w:t>The relevant risks contained in the register are attached/summarised below.</w:t>
      </w:r>
      <w:r w:rsidR="00174943">
        <w:rPr>
          <w:rFonts w:cs="Arial"/>
          <w:szCs w:val="24"/>
          <w:lang w:eastAsia="en-GB"/>
        </w:rPr>
        <w:t xml:space="preserve"> </w:t>
      </w:r>
      <w:r w:rsidR="00174943" w:rsidRPr="00174943">
        <w:rPr>
          <w:rFonts w:cs="Arial"/>
          <w:b/>
          <w:bCs/>
          <w:szCs w:val="24"/>
          <w:lang w:eastAsia="en-GB"/>
        </w:rPr>
        <w:t>N</w:t>
      </w:r>
      <w:r w:rsidR="00174943">
        <w:rPr>
          <w:rFonts w:cs="Arial"/>
          <w:b/>
          <w:bCs/>
          <w:szCs w:val="24"/>
          <w:lang w:eastAsia="en-GB"/>
        </w:rPr>
        <w:t>/A</w:t>
      </w:r>
    </w:p>
    <w:p w14:paraId="1370081D" w14:textId="77777777" w:rsidR="00330BA2" w:rsidRPr="00615340" w:rsidRDefault="00330BA2" w:rsidP="00615340">
      <w:pPr>
        <w:ind w:right="75"/>
        <w:textAlignment w:val="baseline"/>
        <w:rPr>
          <w:rFonts w:ascii="Segoe UI" w:hAnsi="Segoe UI" w:cs="Segoe UI"/>
          <w:sz w:val="18"/>
          <w:szCs w:val="18"/>
          <w:lang w:eastAsia="en-GB"/>
        </w:rPr>
      </w:pPr>
    </w:p>
    <w:p w14:paraId="78EC3061" w14:textId="77777777" w:rsidR="00FD31A0" w:rsidRPr="00A50388" w:rsidRDefault="00A50388" w:rsidP="00FF4BB9">
      <w:pPr>
        <w:pStyle w:val="Heading3"/>
        <w:rPr>
          <w:color w:val="FF0000"/>
        </w:rPr>
      </w:pPr>
      <w:r w:rsidRPr="004A2543">
        <w:t>Equalities implications</w:t>
      </w:r>
      <w:r>
        <w:t xml:space="preserve"> </w:t>
      </w:r>
      <w:r w:rsidRPr="00333FAA">
        <w:t>/</w:t>
      </w:r>
      <w:r>
        <w:t xml:space="preserve"> </w:t>
      </w:r>
      <w:r w:rsidRPr="00333FAA">
        <w:t>Public Sector Equality Duty</w:t>
      </w:r>
    </w:p>
    <w:p w14:paraId="1808E669" w14:textId="5D79ABA1" w:rsidR="00FD31A0" w:rsidRPr="004A2543" w:rsidRDefault="00FD31A0" w:rsidP="00FD31A0">
      <w:r w:rsidRPr="004A2543">
        <w:t xml:space="preserve">Was an Equality Impact Assessment carried out?  </w:t>
      </w:r>
      <w:r w:rsidRPr="006E2528">
        <w:rPr>
          <w:b/>
          <w:bCs/>
        </w:rPr>
        <w:t>Yes</w:t>
      </w:r>
    </w:p>
    <w:p w14:paraId="287C16A6" w14:textId="77777777" w:rsidR="00FD31A0" w:rsidRPr="004A2543" w:rsidRDefault="00FD31A0" w:rsidP="00FD31A0"/>
    <w:p w14:paraId="2F7CA0E6" w14:textId="72F0AB5A" w:rsidR="00174943" w:rsidRDefault="00174943" w:rsidP="00FD31A0">
      <w:r>
        <w:t xml:space="preserve">An extensive interim Integrated Impact Assessment (IIA) (including development of mitigations) was undertaken as part of developing the proposals, which can be found on our website. High level findings from the </w:t>
      </w:r>
      <w:r>
        <w:lastRenderedPageBreak/>
        <w:t xml:space="preserve">maternity and neonatal services IIA are outlined in the attached report. </w:t>
      </w:r>
      <w:r w:rsidR="006E2528">
        <w:t xml:space="preserve">The link to the full documents are here: </w:t>
      </w:r>
      <w:hyperlink r:id="rId9" w:history="1">
        <w:r w:rsidR="006E2528" w:rsidRPr="00DA5460">
          <w:rPr>
            <w:rStyle w:val="Hyperlink"/>
          </w:rPr>
          <w:t>https://nclhealthandcare.org.uk/get-involved/start-well-2/additional-documents/</w:t>
        </w:r>
      </w:hyperlink>
      <w:r w:rsidR="006E2528">
        <w:t xml:space="preserve"> </w:t>
      </w:r>
      <w:r>
        <w:t>There were no significant findings for Harrow residents as part of this interim impact assessment, however this would be reviewed following consultation</w:t>
      </w:r>
      <w:r w:rsidR="00D95755">
        <w:t xml:space="preserve">. </w:t>
      </w:r>
    </w:p>
    <w:p w14:paraId="4BA17395" w14:textId="77777777" w:rsidR="00174943" w:rsidRDefault="00174943" w:rsidP="00FD31A0"/>
    <w:p w14:paraId="2BB5CB9A" w14:textId="77777777" w:rsidR="002A2389" w:rsidRPr="00FF4BB9" w:rsidRDefault="002A2389" w:rsidP="00FF4BB9">
      <w:pPr>
        <w:pStyle w:val="Heading2"/>
      </w:pPr>
      <w:r w:rsidRPr="00FF4BB9">
        <w:t>Section 3 - Statutory Officer Clearance</w:t>
      </w:r>
      <w:r w:rsidR="00BE1C78" w:rsidRPr="00FF4BB9">
        <w:t xml:space="preserve"> </w:t>
      </w:r>
      <w:r w:rsidR="001417FD" w:rsidRPr="00FF4BB9">
        <w:t>(Council and Joint Reports)</w:t>
      </w:r>
    </w:p>
    <w:p w14:paraId="45F3BB61" w14:textId="77777777" w:rsidR="002A2389" w:rsidRDefault="002A2389" w:rsidP="008D1750">
      <w:pPr>
        <w:keepNext/>
        <w:rPr>
          <w:rFonts w:cs="Arial"/>
        </w:rPr>
      </w:pPr>
    </w:p>
    <w:p w14:paraId="3268493D" w14:textId="2CDC6C3A" w:rsidR="00FF4BB9" w:rsidRPr="00A66326" w:rsidRDefault="00FF4BB9" w:rsidP="00FF4BB9">
      <w:pPr>
        <w:rPr>
          <w:sz w:val="28"/>
        </w:rPr>
      </w:pPr>
      <w:r w:rsidRPr="00A66326">
        <w:rPr>
          <w:b/>
          <w:sz w:val="28"/>
        </w:rPr>
        <w:t xml:space="preserve">Statutory Officer:  </w:t>
      </w:r>
      <w:r w:rsidR="00142443">
        <w:rPr>
          <w:b/>
          <w:sz w:val="28"/>
        </w:rPr>
        <w:t>Donna Edwards</w:t>
      </w:r>
    </w:p>
    <w:p w14:paraId="63A57E10" w14:textId="76DFEC84" w:rsidR="00FF4BB9" w:rsidRPr="00142443" w:rsidRDefault="00FF4BB9" w:rsidP="00FF4BB9">
      <w:r w:rsidRPr="00A66326">
        <w:t>Signed on behalf of the Chief Financial Officer</w:t>
      </w:r>
    </w:p>
    <w:p w14:paraId="5EE2177C" w14:textId="0EAC7591" w:rsidR="00FF4BB9" w:rsidRPr="00A66326" w:rsidRDefault="00FF4BB9" w:rsidP="00FF4BB9">
      <w:pPr>
        <w:spacing w:after="480"/>
        <w:rPr>
          <w:sz w:val="28"/>
        </w:rPr>
      </w:pPr>
      <w:r w:rsidRPr="00A66326">
        <w:rPr>
          <w:b/>
          <w:sz w:val="28"/>
        </w:rPr>
        <w:t xml:space="preserve">Date:  </w:t>
      </w:r>
      <w:r w:rsidR="00142443">
        <w:rPr>
          <w:b/>
          <w:sz w:val="28"/>
        </w:rPr>
        <w:t>11/01/2024</w:t>
      </w:r>
    </w:p>
    <w:p w14:paraId="22ABCA90" w14:textId="0F256216" w:rsidR="00FF4BB9" w:rsidRPr="00A66326" w:rsidRDefault="00FF4BB9" w:rsidP="00FF4BB9">
      <w:pPr>
        <w:rPr>
          <w:sz w:val="28"/>
        </w:rPr>
      </w:pPr>
      <w:r w:rsidRPr="00A66326">
        <w:rPr>
          <w:b/>
          <w:sz w:val="28"/>
        </w:rPr>
        <w:t xml:space="preserve">Statutory Officer:  </w:t>
      </w:r>
      <w:r w:rsidR="00142443">
        <w:rPr>
          <w:b/>
          <w:sz w:val="28"/>
        </w:rPr>
        <w:t>Sharon Clarke</w:t>
      </w:r>
    </w:p>
    <w:p w14:paraId="610956DB" w14:textId="42671FD4" w:rsidR="00FF4BB9" w:rsidRPr="00142443" w:rsidRDefault="00FF4BB9" w:rsidP="00FF4BB9">
      <w:r w:rsidRPr="00A66326">
        <w:t>Signed on behalf of the Monitoring Officer</w:t>
      </w:r>
    </w:p>
    <w:p w14:paraId="3E560858" w14:textId="76A3EA07" w:rsidR="00FF4BB9" w:rsidRPr="003313EA" w:rsidRDefault="00FF4BB9" w:rsidP="00FF4BB9">
      <w:pPr>
        <w:spacing w:after="480"/>
        <w:rPr>
          <w:sz w:val="28"/>
        </w:rPr>
      </w:pPr>
      <w:r w:rsidRPr="00A66326">
        <w:rPr>
          <w:b/>
          <w:sz w:val="28"/>
        </w:rPr>
        <w:t xml:space="preserve">Date:  </w:t>
      </w:r>
      <w:r w:rsidR="007843AE">
        <w:rPr>
          <w:b/>
          <w:sz w:val="28"/>
        </w:rPr>
        <w:t>11/01/2024</w:t>
      </w:r>
    </w:p>
    <w:p w14:paraId="058AEA52" w14:textId="3E243BD1" w:rsidR="00FF4BB9" w:rsidRPr="00A66326" w:rsidRDefault="001E7655" w:rsidP="00FF4BB9">
      <w:pPr>
        <w:rPr>
          <w:sz w:val="28"/>
        </w:rPr>
      </w:pPr>
      <w:r>
        <w:rPr>
          <w:b/>
          <w:sz w:val="28"/>
        </w:rPr>
        <w:t>Chief</w:t>
      </w:r>
      <w:r w:rsidR="00FF4BB9" w:rsidRPr="00A66326">
        <w:rPr>
          <w:b/>
          <w:sz w:val="28"/>
        </w:rPr>
        <w:t xml:space="preserve"> Officer:  </w:t>
      </w:r>
      <w:r w:rsidR="001E611F">
        <w:rPr>
          <w:b/>
          <w:sz w:val="28"/>
        </w:rPr>
        <w:t>Carole Furlong on behalf of Senel Arkut</w:t>
      </w:r>
    </w:p>
    <w:p w14:paraId="2561DE56" w14:textId="10B790D4" w:rsidR="00FF4BB9" w:rsidRPr="00142443" w:rsidRDefault="002C1D70" w:rsidP="00FF4BB9">
      <w:r>
        <w:t>Signed</w:t>
      </w:r>
      <w:r w:rsidR="00142443">
        <w:t xml:space="preserve"> on behalf of</w:t>
      </w:r>
      <w:r w:rsidR="00FF4BB9" w:rsidRPr="00A66326">
        <w:t xml:space="preserve"> the Corporate Director</w:t>
      </w:r>
      <w:r w:rsidR="00142443">
        <w:t>/by the Director of Public Health</w:t>
      </w:r>
    </w:p>
    <w:p w14:paraId="369B585E" w14:textId="32B3B7D4" w:rsidR="00FF4BB9" w:rsidRPr="00A66326" w:rsidRDefault="00FF4BB9" w:rsidP="00FF4BB9">
      <w:pPr>
        <w:spacing w:after="480"/>
        <w:rPr>
          <w:sz w:val="28"/>
        </w:rPr>
      </w:pPr>
      <w:r w:rsidRPr="00A66326">
        <w:rPr>
          <w:b/>
          <w:sz w:val="28"/>
        </w:rPr>
        <w:t xml:space="preserve">Date:  </w:t>
      </w:r>
      <w:r w:rsidR="007843AE">
        <w:rPr>
          <w:b/>
          <w:sz w:val="28"/>
        </w:rPr>
        <w:t>05/01/2024</w:t>
      </w:r>
    </w:p>
    <w:p w14:paraId="0099E0CC" w14:textId="77777777" w:rsidR="00FF4BB9" w:rsidRPr="00435B5D" w:rsidRDefault="00FF4BB9" w:rsidP="00FF4BB9">
      <w:pPr>
        <w:pStyle w:val="Heading3"/>
      </w:pPr>
      <w:r>
        <w:t>Mandatory Checks</w:t>
      </w:r>
    </w:p>
    <w:p w14:paraId="1B4CC605" w14:textId="12734F12" w:rsidR="00FF4BB9" w:rsidRPr="00231093" w:rsidRDefault="00FF4BB9" w:rsidP="006E2528">
      <w:pPr>
        <w:pStyle w:val="Heading4"/>
        <w:rPr>
          <w:b w:val="0"/>
          <w:bCs/>
          <w:i/>
          <w:color w:val="FF0000"/>
          <w:sz w:val="24"/>
          <w:szCs w:val="24"/>
        </w:rPr>
      </w:pPr>
      <w:r w:rsidRPr="00FF4BB9">
        <w:t xml:space="preserve">Ward Councillors notified:  </w:t>
      </w:r>
      <w:r w:rsidR="006E2528" w:rsidRPr="00231093">
        <w:rPr>
          <w:b w:val="0"/>
          <w:bCs/>
        </w:rPr>
        <w:t>N</w:t>
      </w:r>
      <w:r w:rsidR="00231093" w:rsidRPr="00231093">
        <w:rPr>
          <w:b w:val="0"/>
          <w:bCs/>
        </w:rPr>
        <w:t>/</w:t>
      </w:r>
      <w:r w:rsidR="006E2528" w:rsidRPr="00231093">
        <w:rPr>
          <w:b w:val="0"/>
          <w:bCs/>
        </w:rPr>
        <w:t>A</w:t>
      </w:r>
    </w:p>
    <w:p w14:paraId="6B556393" w14:textId="77777777" w:rsidR="00FF4BB9" w:rsidRDefault="00FF4BB9" w:rsidP="00FF4BB9">
      <w:pPr>
        <w:pStyle w:val="Heading2"/>
        <w:keepNext/>
      </w:pPr>
      <w:r>
        <w:t>Section 4 - Contact Details and Background Papers</w:t>
      </w:r>
    </w:p>
    <w:p w14:paraId="45D9F7F9" w14:textId="1FB16B21" w:rsidR="00FF4BB9" w:rsidRPr="009E4BE6" w:rsidRDefault="00FF4BB9" w:rsidP="00FF4BB9">
      <w:pPr>
        <w:pStyle w:val="Infotext"/>
        <w:rPr>
          <w:szCs w:val="28"/>
        </w:rPr>
      </w:pPr>
      <w:r w:rsidRPr="00D914D2">
        <w:rPr>
          <w:b/>
        </w:rPr>
        <w:t>Contact</w:t>
      </w:r>
      <w:r w:rsidRPr="009E4BE6">
        <w:rPr>
          <w:b/>
          <w:szCs w:val="28"/>
        </w:rPr>
        <w:t>:</w:t>
      </w:r>
      <w:r w:rsidRPr="009E4BE6">
        <w:rPr>
          <w:szCs w:val="28"/>
        </w:rPr>
        <w:t xml:space="preserve">  </w:t>
      </w:r>
      <w:r w:rsidR="006E2528" w:rsidRPr="009E4BE6">
        <w:rPr>
          <w:rFonts w:cs="Arial"/>
          <w:szCs w:val="28"/>
        </w:rPr>
        <w:t>Anna Stewart, Programme Director – NCL Start Well Programme, NCL Integrated Care Board</w:t>
      </w:r>
      <w:r w:rsidR="00A93857" w:rsidRPr="009E4BE6">
        <w:rPr>
          <w:rFonts w:cs="Arial"/>
          <w:szCs w:val="28"/>
        </w:rPr>
        <w:t xml:space="preserve"> </w:t>
      </w:r>
      <w:hyperlink r:id="rId10" w:history="1">
        <w:r w:rsidR="00A93857" w:rsidRPr="009E4BE6">
          <w:rPr>
            <w:rStyle w:val="Hyperlink"/>
            <w:rFonts w:cs="Arial"/>
            <w:szCs w:val="28"/>
          </w:rPr>
          <w:t>anna.stewart3@nhs.net</w:t>
        </w:r>
      </w:hyperlink>
      <w:r w:rsidR="00A93857" w:rsidRPr="009E4BE6">
        <w:rPr>
          <w:rFonts w:cs="Arial"/>
          <w:szCs w:val="28"/>
        </w:rPr>
        <w:t xml:space="preserve"> </w:t>
      </w:r>
    </w:p>
    <w:p w14:paraId="560AED8A" w14:textId="28F8EA47" w:rsidR="00FF4BB9" w:rsidRDefault="00FF4BB9" w:rsidP="00FF4BB9">
      <w:pPr>
        <w:pStyle w:val="Infotext"/>
        <w:spacing w:before="360"/>
      </w:pPr>
      <w:r w:rsidRPr="00D914D2">
        <w:rPr>
          <w:b/>
        </w:rPr>
        <w:t>Background Papers</w:t>
      </w:r>
      <w:r>
        <w:t xml:space="preserve">:  </w:t>
      </w:r>
      <w:hyperlink r:id="rId11" w:history="1">
        <w:r w:rsidR="006E2528">
          <w:rPr>
            <w:rStyle w:val="Hyperlink"/>
          </w:rPr>
          <w:t>nclhealthandcare.org.uk/get-involved/start-well</w:t>
        </w:r>
      </w:hyperlink>
    </w:p>
    <w:p w14:paraId="7C47980D" w14:textId="77777777" w:rsidR="00FF4BB9" w:rsidRDefault="00FF4BB9" w:rsidP="00FF4BB9">
      <w:pPr>
        <w:pStyle w:val="Infotext"/>
        <w:spacing w:before="360" w:after="240"/>
      </w:pPr>
      <w:r>
        <w:t xml:space="preserve">If appropriate, does the report include the following considerations? </w:t>
      </w:r>
    </w:p>
    <w:p w14:paraId="61A13184" w14:textId="77777777" w:rsidR="00FF4BB9" w:rsidRDefault="00FF4BB9" w:rsidP="00FF4BB9">
      <w:pPr>
        <w:pStyle w:val="Infotext"/>
        <w:tabs>
          <w:tab w:val="left" w:pos="656"/>
          <w:tab w:val="left" w:pos="6399"/>
        </w:tabs>
      </w:pPr>
      <w:r>
        <w:t>1.</w:t>
      </w:r>
      <w:r>
        <w:tab/>
        <w:t xml:space="preserve">Consultation </w:t>
      </w:r>
      <w:r>
        <w:tab/>
        <w:t>YES / NO</w:t>
      </w:r>
    </w:p>
    <w:p w14:paraId="0A1A8035" w14:textId="23334B75" w:rsidR="002A2389" w:rsidRDefault="00FF4BB9" w:rsidP="00615340">
      <w:pPr>
        <w:pStyle w:val="Infotext"/>
        <w:tabs>
          <w:tab w:val="left" w:pos="656"/>
          <w:tab w:val="left" w:pos="6399"/>
        </w:tabs>
      </w:pPr>
      <w:r>
        <w:t>2.</w:t>
      </w:r>
      <w:r>
        <w:tab/>
        <w:t>Priorities</w:t>
      </w:r>
      <w:r>
        <w:tab/>
        <w:t xml:space="preserve">YES / NO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F712" w14:textId="77777777" w:rsidR="003C0B94" w:rsidRDefault="003C0B94">
      <w:r>
        <w:separator/>
      </w:r>
    </w:p>
  </w:endnote>
  <w:endnote w:type="continuationSeparator" w:id="0">
    <w:p w14:paraId="24F841E7" w14:textId="77777777" w:rsidR="003C0B94" w:rsidRDefault="003C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AF6F" w14:textId="77777777" w:rsidR="003C0B94" w:rsidRDefault="003C0B94">
      <w:r>
        <w:separator/>
      </w:r>
    </w:p>
  </w:footnote>
  <w:footnote w:type="continuationSeparator" w:id="0">
    <w:p w14:paraId="0DF6118B" w14:textId="77777777" w:rsidR="003C0B94" w:rsidRDefault="003C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3D6A96"/>
    <w:multiLevelType w:val="hybridMultilevel"/>
    <w:tmpl w:val="44B8CD32"/>
    <w:lvl w:ilvl="0" w:tplc="2D1613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8A69D"/>
    <w:multiLevelType w:val="hybridMultilevel"/>
    <w:tmpl w:val="FFFFFFFF"/>
    <w:lvl w:ilvl="0" w:tplc="9BE65A56">
      <w:start w:val="1"/>
      <w:numFmt w:val="bullet"/>
      <w:lvlText w:val="·"/>
      <w:lvlJc w:val="left"/>
      <w:pPr>
        <w:ind w:left="720" w:hanging="360"/>
      </w:pPr>
      <w:rPr>
        <w:rFonts w:ascii="Symbol" w:hAnsi="Symbol" w:hint="default"/>
      </w:rPr>
    </w:lvl>
    <w:lvl w:ilvl="1" w:tplc="19B6C628">
      <w:start w:val="1"/>
      <w:numFmt w:val="bullet"/>
      <w:lvlText w:val="o"/>
      <w:lvlJc w:val="left"/>
      <w:pPr>
        <w:ind w:left="1440" w:hanging="360"/>
      </w:pPr>
      <w:rPr>
        <w:rFonts w:ascii="Courier New" w:hAnsi="Courier New" w:cs="Times New Roman" w:hint="default"/>
      </w:rPr>
    </w:lvl>
    <w:lvl w:ilvl="2" w:tplc="62EA2036">
      <w:start w:val="1"/>
      <w:numFmt w:val="bullet"/>
      <w:lvlText w:val=""/>
      <w:lvlJc w:val="left"/>
      <w:pPr>
        <w:ind w:left="2160" w:hanging="360"/>
      </w:pPr>
      <w:rPr>
        <w:rFonts w:ascii="Wingdings" w:hAnsi="Wingdings" w:hint="default"/>
      </w:rPr>
    </w:lvl>
    <w:lvl w:ilvl="3" w:tplc="06F2EF72">
      <w:start w:val="1"/>
      <w:numFmt w:val="bullet"/>
      <w:lvlText w:val=""/>
      <w:lvlJc w:val="left"/>
      <w:pPr>
        <w:ind w:left="2880" w:hanging="360"/>
      </w:pPr>
      <w:rPr>
        <w:rFonts w:ascii="Symbol" w:hAnsi="Symbol" w:hint="default"/>
      </w:rPr>
    </w:lvl>
    <w:lvl w:ilvl="4" w:tplc="76204894">
      <w:start w:val="1"/>
      <w:numFmt w:val="bullet"/>
      <w:lvlText w:val="o"/>
      <w:lvlJc w:val="left"/>
      <w:pPr>
        <w:ind w:left="3600" w:hanging="360"/>
      </w:pPr>
      <w:rPr>
        <w:rFonts w:ascii="Courier New" w:hAnsi="Courier New" w:cs="Times New Roman" w:hint="default"/>
      </w:rPr>
    </w:lvl>
    <w:lvl w:ilvl="5" w:tplc="DDD005AC">
      <w:start w:val="1"/>
      <w:numFmt w:val="bullet"/>
      <w:lvlText w:val=""/>
      <w:lvlJc w:val="left"/>
      <w:pPr>
        <w:ind w:left="4320" w:hanging="360"/>
      </w:pPr>
      <w:rPr>
        <w:rFonts w:ascii="Wingdings" w:hAnsi="Wingdings" w:hint="default"/>
      </w:rPr>
    </w:lvl>
    <w:lvl w:ilvl="6" w:tplc="DEE49530">
      <w:start w:val="1"/>
      <w:numFmt w:val="bullet"/>
      <w:lvlText w:val=""/>
      <w:lvlJc w:val="left"/>
      <w:pPr>
        <w:ind w:left="5040" w:hanging="360"/>
      </w:pPr>
      <w:rPr>
        <w:rFonts w:ascii="Symbol" w:hAnsi="Symbol" w:hint="default"/>
      </w:rPr>
    </w:lvl>
    <w:lvl w:ilvl="7" w:tplc="B5446E9E">
      <w:start w:val="1"/>
      <w:numFmt w:val="bullet"/>
      <w:lvlText w:val="o"/>
      <w:lvlJc w:val="left"/>
      <w:pPr>
        <w:ind w:left="5760" w:hanging="360"/>
      </w:pPr>
      <w:rPr>
        <w:rFonts w:ascii="Courier New" w:hAnsi="Courier New" w:cs="Times New Roman" w:hint="default"/>
      </w:rPr>
    </w:lvl>
    <w:lvl w:ilvl="8" w:tplc="354E3AB4">
      <w:start w:val="1"/>
      <w:numFmt w:val="bullet"/>
      <w:lvlText w:val=""/>
      <w:lvlJc w:val="left"/>
      <w:pPr>
        <w:ind w:left="6480" w:hanging="360"/>
      </w:pPr>
      <w:rPr>
        <w:rFonts w:ascii="Wingdings" w:hAnsi="Wingdings" w:hint="default"/>
      </w:rPr>
    </w:lvl>
  </w:abstractNum>
  <w:abstractNum w:abstractNumId="14" w15:restartNumberingAfterBreak="0">
    <w:nsid w:val="5AD320C6"/>
    <w:multiLevelType w:val="hybridMultilevel"/>
    <w:tmpl w:val="198EBC1A"/>
    <w:lvl w:ilvl="0" w:tplc="2D1613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09625">
    <w:abstractNumId w:val="17"/>
  </w:num>
  <w:num w:numId="2" w16cid:durableId="1569226707">
    <w:abstractNumId w:val="11"/>
  </w:num>
  <w:num w:numId="3" w16cid:durableId="813790519">
    <w:abstractNumId w:val="16"/>
  </w:num>
  <w:num w:numId="4" w16cid:durableId="379669333">
    <w:abstractNumId w:val="1"/>
  </w:num>
  <w:num w:numId="5"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335836">
    <w:abstractNumId w:val="6"/>
  </w:num>
  <w:num w:numId="7" w16cid:durableId="164978740">
    <w:abstractNumId w:val="8"/>
  </w:num>
  <w:num w:numId="8" w16cid:durableId="1299336545">
    <w:abstractNumId w:val="3"/>
  </w:num>
  <w:num w:numId="9" w16cid:durableId="1565219860">
    <w:abstractNumId w:val="15"/>
  </w:num>
  <w:num w:numId="10" w16cid:durableId="409237689">
    <w:abstractNumId w:val="19"/>
  </w:num>
  <w:num w:numId="11" w16cid:durableId="892698259">
    <w:abstractNumId w:val="12"/>
  </w:num>
  <w:num w:numId="12" w16cid:durableId="412046328">
    <w:abstractNumId w:val="2"/>
  </w:num>
  <w:num w:numId="13" w16cid:durableId="1783839185">
    <w:abstractNumId w:val="5"/>
  </w:num>
  <w:num w:numId="14" w16cid:durableId="1911234421">
    <w:abstractNumId w:val="10"/>
  </w:num>
  <w:num w:numId="15" w16cid:durableId="1311404609">
    <w:abstractNumId w:val="4"/>
  </w:num>
  <w:num w:numId="16" w16cid:durableId="213930310">
    <w:abstractNumId w:val="18"/>
  </w:num>
  <w:num w:numId="17" w16cid:durableId="1338776680">
    <w:abstractNumId w:val="9"/>
  </w:num>
  <w:num w:numId="18" w16cid:durableId="1284845457">
    <w:abstractNumId w:val="13"/>
  </w:num>
  <w:num w:numId="19" w16cid:durableId="1976791041">
    <w:abstractNumId w:val="7"/>
  </w:num>
  <w:num w:numId="20" w16cid:durableId="1001277404">
    <w:abstractNumId w:val="0"/>
  </w:num>
  <w:num w:numId="21" w16cid:durableId="13131734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57F10"/>
    <w:rsid w:val="00066C35"/>
    <w:rsid w:val="00071EB4"/>
    <w:rsid w:val="00077298"/>
    <w:rsid w:val="00080819"/>
    <w:rsid w:val="0008372C"/>
    <w:rsid w:val="000B6DBB"/>
    <w:rsid w:val="000D2BF2"/>
    <w:rsid w:val="000F65C0"/>
    <w:rsid w:val="00122491"/>
    <w:rsid w:val="0013615B"/>
    <w:rsid w:val="001417FD"/>
    <w:rsid w:val="00142443"/>
    <w:rsid w:val="00174943"/>
    <w:rsid w:val="001939BA"/>
    <w:rsid w:val="001976BF"/>
    <w:rsid w:val="001C5225"/>
    <w:rsid w:val="001E0219"/>
    <w:rsid w:val="001E1B75"/>
    <w:rsid w:val="001E611F"/>
    <w:rsid w:val="001E7655"/>
    <w:rsid w:val="001F341E"/>
    <w:rsid w:val="00231093"/>
    <w:rsid w:val="00231A1D"/>
    <w:rsid w:val="0026258C"/>
    <w:rsid w:val="00296F20"/>
    <w:rsid w:val="002A2389"/>
    <w:rsid w:val="002A6109"/>
    <w:rsid w:val="002C08E2"/>
    <w:rsid w:val="002C1794"/>
    <w:rsid w:val="002C1D70"/>
    <w:rsid w:val="002E77E3"/>
    <w:rsid w:val="00302DAD"/>
    <w:rsid w:val="003115B3"/>
    <w:rsid w:val="00330BA2"/>
    <w:rsid w:val="0034544F"/>
    <w:rsid w:val="0036506D"/>
    <w:rsid w:val="003772A0"/>
    <w:rsid w:val="003B6B15"/>
    <w:rsid w:val="003C0B16"/>
    <w:rsid w:val="003C0B94"/>
    <w:rsid w:val="004213D7"/>
    <w:rsid w:val="0042394B"/>
    <w:rsid w:val="00473B08"/>
    <w:rsid w:val="00474B5F"/>
    <w:rsid w:val="00485470"/>
    <w:rsid w:val="004B2C9D"/>
    <w:rsid w:val="004C2D29"/>
    <w:rsid w:val="004D5D86"/>
    <w:rsid w:val="004E667D"/>
    <w:rsid w:val="004E6AF9"/>
    <w:rsid w:val="004F36E5"/>
    <w:rsid w:val="00513FB9"/>
    <w:rsid w:val="00530D4A"/>
    <w:rsid w:val="005861B4"/>
    <w:rsid w:val="005874F0"/>
    <w:rsid w:val="005D4ADF"/>
    <w:rsid w:val="005E384D"/>
    <w:rsid w:val="005E570E"/>
    <w:rsid w:val="005F2181"/>
    <w:rsid w:val="005F724B"/>
    <w:rsid w:val="00615340"/>
    <w:rsid w:val="0063072B"/>
    <w:rsid w:val="006465F6"/>
    <w:rsid w:val="00662891"/>
    <w:rsid w:val="00675FCB"/>
    <w:rsid w:val="006A7572"/>
    <w:rsid w:val="006B099E"/>
    <w:rsid w:val="006C3914"/>
    <w:rsid w:val="006D2C51"/>
    <w:rsid w:val="006E2528"/>
    <w:rsid w:val="0070079A"/>
    <w:rsid w:val="0074184E"/>
    <w:rsid w:val="00755F8D"/>
    <w:rsid w:val="007843AE"/>
    <w:rsid w:val="00796503"/>
    <w:rsid w:val="007D56C8"/>
    <w:rsid w:val="007E7303"/>
    <w:rsid w:val="007F1C8A"/>
    <w:rsid w:val="007F7B2F"/>
    <w:rsid w:val="00803162"/>
    <w:rsid w:val="008136B1"/>
    <w:rsid w:val="008279B2"/>
    <w:rsid w:val="008D1750"/>
    <w:rsid w:val="008E4913"/>
    <w:rsid w:val="008F4594"/>
    <w:rsid w:val="00900464"/>
    <w:rsid w:val="0090100E"/>
    <w:rsid w:val="0093767E"/>
    <w:rsid w:val="00972A02"/>
    <w:rsid w:val="0099517C"/>
    <w:rsid w:val="009B2ECD"/>
    <w:rsid w:val="009B5DFA"/>
    <w:rsid w:val="009B6FD7"/>
    <w:rsid w:val="009B7914"/>
    <w:rsid w:val="009E4BE6"/>
    <w:rsid w:val="00A27CEF"/>
    <w:rsid w:val="00A43885"/>
    <w:rsid w:val="00A50388"/>
    <w:rsid w:val="00A51FAE"/>
    <w:rsid w:val="00A566E7"/>
    <w:rsid w:val="00A613C1"/>
    <w:rsid w:val="00A70E7C"/>
    <w:rsid w:val="00A76A21"/>
    <w:rsid w:val="00A92F5A"/>
    <w:rsid w:val="00A93857"/>
    <w:rsid w:val="00A940D3"/>
    <w:rsid w:val="00A96FCA"/>
    <w:rsid w:val="00AA4BE8"/>
    <w:rsid w:val="00AA5D1C"/>
    <w:rsid w:val="00AC7BA9"/>
    <w:rsid w:val="00B0425E"/>
    <w:rsid w:val="00B21467"/>
    <w:rsid w:val="00B86A57"/>
    <w:rsid w:val="00B92AA6"/>
    <w:rsid w:val="00B9498A"/>
    <w:rsid w:val="00BD684A"/>
    <w:rsid w:val="00BE1C78"/>
    <w:rsid w:val="00BF6C06"/>
    <w:rsid w:val="00C171C8"/>
    <w:rsid w:val="00C20AD9"/>
    <w:rsid w:val="00C32DAE"/>
    <w:rsid w:val="00C40E24"/>
    <w:rsid w:val="00C82CEC"/>
    <w:rsid w:val="00C96EF5"/>
    <w:rsid w:val="00D1109B"/>
    <w:rsid w:val="00D32B51"/>
    <w:rsid w:val="00D34145"/>
    <w:rsid w:val="00D34668"/>
    <w:rsid w:val="00D3740E"/>
    <w:rsid w:val="00D67254"/>
    <w:rsid w:val="00D82F57"/>
    <w:rsid w:val="00D841A5"/>
    <w:rsid w:val="00D914D2"/>
    <w:rsid w:val="00D95755"/>
    <w:rsid w:val="00DA25DB"/>
    <w:rsid w:val="00DB39E5"/>
    <w:rsid w:val="00DD4251"/>
    <w:rsid w:val="00DD7494"/>
    <w:rsid w:val="00DF48BB"/>
    <w:rsid w:val="00E02B50"/>
    <w:rsid w:val="00E03F11"/>
    <w:rsid w:val="00E06DC8"/>
    <w:rsid w:val="00E220B5"/>
    <w:rsid w:val="00E5629F"/>
    <w:rsid w:val="00E66F12"/>
    <w:rsid w:val="00EA6242"/>
    <w:rsid w:val="00EB4C4D"/>
    <w:rsid w:val="00EE0325"/>
    <w:rsid w:val="00EE58D3"/>
    <w:rsid w:val="00F304CE"/>
    <w:rsid w:val="00F3060F"/>
    <w:rsid w:val="00F37C8A"/>
    <w:rsid w:val="00F4213B"/>
    <w:rsid w:val="00F66DED"/>
    <w:rsid w:val="00F849ED"/>
    <w:rsid w:val="00F92398"/>
    <w:rsid w:val="00FD31A0"/>
    <w:rsid w:val="00FF30F2"/>
    <w:rsid w:val="00FF4BB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qFormat/>
    <w:locked/>
    <w:rsid w:val="004F36E5"/>
    <w:rPr>
      <w:rFonts w:ascii="Arial" w:hAnsi="Arial"/>
      <w:sz w:val="24"/>
      <w:lang w:eastAsia="en-US"/>
    </w:rPr>
  </w:style>
  <w:style w:type="paragraph" w:styleId="NormalWeb">
    <w:name w:val="Normal (Web)"/>
    <w:basedOn w:val="Normal"/>
    <w:uiPriority w:val="99"/>
    <w:unhideWhenUsed/>
    <w:rsid w:val="00EB4C4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1912">
      <w:bodyDiv w:val="1"/>
      <w:marLeft w:val="0"/>
      <w:marRight w:val="0"/>
      <w:marTop w:val="0"/>
      <w:marBottom w:val="0"/>
      <w:divBdr>
        <w:top w:val="none" w:sz="0" w:space="0" w:color="auto"/>
        <w:left w:val="none" w:sz="0" w:space="0" w:color="auto"/>
        <w:bottom w:val="none" w:sz="0" w:space="0" w:color="auto"/>
        <w:right w:val="none" w:sz="0" w:space="0" w:color="auto"/>
      </w:divBdr>
    </w:div>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1297250343">
      <w:bodyDiv w:val="1"/>
      <w:marLeft w:val="0"/>
      <w:marRight w:val="0"/>
      <w:marTop w:val="0"/>
      <w:marBottom w:val="0"/>
      <w:divBdr>
        <w:top w:val="none" w:sz="0" w:space="0" w:color="auto"/>
        <w:left w:val="none" w:sz="0" w:space="0" w:color="auto"/>
        <w:bottom w:val="none" w:sz="0" w:space="0" w:color="auto"/>
        <w:right w:val="none" w:sz="0" w:space="0" w:color="auto"/>
      </w:divBdr>
    </w:div>
    <w:div w:id="13983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lhealthandcare.org.uk/get-involved/start-well-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lhealthandcare.org.uk/get-involved/start-well-2/" TargetMode="External"/><Relationship Id="rId5" Type="http://schemas.openxmlformats.org/officeDocument/2006/relationships/footnotes" Target="footnotes.xml"/><Relationship Id="rId10" Type="http://schemas.openxmlformats.org/officeDocument/2006/relationships/hyperlink" Target="mailto:anna.stewart3@nhs.net" TargetMode="External"/><Relationship Id="rId4" Type="http://schemas.openxmlformats.org/officeDocument/2006/relationships/webSettings" Target="webSettings.xml"/><Relationship Id="rId9" Type="http://schemas.openxmlformats.org/officeDocument/2006/relationships/hyperlink" Target="https://nclhealthandcare.org.uk/get-involved/start-well-2/addition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6043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12</cp:revision>
  <cp:lastPrinted>2007-07-12T09:53:00Z</cp:lastPrinted>
  <dcterms:created xsi:type="dcterms:W3CDTF">2024-01-10T13:41:00Z</dcterms:created>
  <dcterms:modified xsi:type="dcterms:W3CDTF">2024-01-12T12:08:00Z</dcterms:modified>
</cp:coreProperties>
</file>